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94" w:rsidRDefault="00C74894">
      <w:pPr>
        <w:outlineLvl w:val="0"/>
        <w:rPr>
          <w:rFonts w:ascii="Arial" w:hAnsi="Arial" w:cs="Arial"/>
          <w:b/>
        </w:rPr>
      </w:pPr>
      <w:bookmarkStart w:id="0" w:name="_GoBack"/>
      <w:bookmarkEnd w:id="0"/>
    </w:p>
    <w:p w:rsidR="00E3020A" w:rsidRDefault="00E3020A">
      <w:pPr>
        <w:outlineLvl w:val="0"/>
        <w:rPr>
          <w:rFonts w:ascii="Arial" w:hAnsi="Arial" w:cs="Arial"/>
          <w:b/>
        </w:rPr>
      </w:pPr>
    </w:p>
    <w:p w:rsidR="00E3020A" w:rsidRDefault="00E3020A">
      <w:pPr>
        <w:outlineLvl w:val="0"/>
        <w:rPr>
          <w:rFonts w:ascii="Arial" w:hAnsi="Arial" w:cs="Arial"/>
          <w:b/>
        </w:rPr>
      </w:pPr>
    </w:p>
    <w:p w:rsidR="00E3020A" w:rsidRPr="00B40DBD" w:rsidRDefault="00E3020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</w:t>
      </w:r>
      <w:r w:rsidR="0059365F" w:rsidRPr="002208CF">
        <w:rPr>
          <w:rFonts w:ascii="Arial" w:hAnsi="Arial" w:cs="Arial"/>
        </w:rPr>
        <w:t>, zejména</w:t>
      </w:r>
      <w:r w:rsidR="009B1490">
        <w:rPr>
          <w:rFonts w:ascii="Arial" w:hAnsi="Arial" w:cs="Arial"/>
        </w:rPr>
        <w:br/>
      </w:r>
      <w:r w:rsidR="0059365F"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D02AFD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</w:t>
      </w:r>
      <w:r w:rsidR="00D1197C">
        <w:rPr>
          <w:rFonts w:ascii="Arial" w:hAnsi="Arial" w:cs="Arial"/>
        </w:rPr>
        <w:t xml:space="preserve">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112146" w:rsidRPr="00E3020A" w:rsidRDefault="00112146" w:rsidP="00112146">
      <w:pPr>
        <w:pStyle w:val="Odstavecseseznamem"/>
        <w:numPr>
          <w:ilvl w:val="0"/>
          <w:numId w:val="20"/>
        </w:numPr>
        <w:spacing w:line="280" w:lineRule="atLeast"/>
        <w:ind w:left="426" w:hanging="284"/>
        <w:jc w:val="both"/>
        <w:rPr>
          <w:rFonts w:ascii="Arial" w:hAnsi="Arial" w:cs="Arial"/>
          <w:color w:val="FF0000"/>
        </w:rPr>
      </w:pPr>
      <w:r w:rsidRPr="00E3020A">
        <w:rPr>
          <w:rFonts w:ascii="Arial" w:hAnsi="Arial" w:cs="Arial"/>
        </w:rPr>
        <w:t>Platby budou probíhat výhradně v CZK a rovněž veškeré cenové údaje budou v této měně.</w:t>
      </w:r>
      <w:r w:rsidRPr="00E3020A">
        <w:rPr>
          <w:rFonts w:ascii="Arial" w:hAnsi="Arial" w:cs="Arial"/>
          <w:color w:val="FF0000"/>
        </w:rPr>
        <w:t xml:space="preserve"> </w:t>
      </w:r>
    </w:p>
    <w:p w:rsidR="006A6373" w:rsidRPr="007530CB" w:rsidRDefault="006A6373" w:rsidP="00E3020A">
      <w:pPr>
        <w:pStyle w:val="Odstavecseseznamem"/>
        <w:spacing w:line="280" w:lineRule="atLeast"/>
        <w:ind w:left="426"/>
        <w:jc w:val="both"/>
        <w:rPr>
          <w:rFonts w:ascii="Arial" w:hAnsi="Arial" w:cs="Arial"/>
          <w:color w:val="FF0000"/>
        </w:rPr>
      </w:pPr>
    </w:p>
    <w:p w:rsidR="008C6CB1" w:rsidRPr="00E3020A" w:rsidRDefault="008C6CB1" w:rsidP="00112146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E3020A"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 w:rsidRPr="00E3020A">
        <w:rPr>
          <w:rFonts w:ascii="Arial" w:hAnsi="Arial" w:cs="Arial"/>
        </w:rPr>
        <w:t>hrady je splněna okamžikem, kdy </w:t>
      </w:r>
      <w:r w:rsidRPr="00E3020A"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</w:t>
      </w:r>
      <w:r w:rsidR="00A543C8">
        <w:rPr>
          <w:rFonts w:ascii="Arial" w:hAnsi="Arial" w:cs="Arial"/>
          <w:b/>
        </w:rPr>
        <w:t xml:space="preserve">uvedení zboží do provozu včetně zaškolení obsluhy na základě </w:t>
      </w:r>
      <w:r w:rsidRPr="00D72C37">
        <w:rPr>
          <w:rFonts w:ascii="Arial" w:hAnsi="Arial" w:cs="Arial"/>
          <w:b/>
        </w:rPr>
        <w:t xml:space="preserve">dle </w:t>
      </w:r>
      <w:r w:rsidR="00781676" w:rsidRPr="00D72C37">
        <w:rPr>
          <w:rFonts w:ascii="Arial" w:hAnsi="Arial" w:cs="Arial"/>
          <w:b/>
        </w:rPr>
        <w:t xml:space="preserve">předávacího </w:t>
      </w:r>
      <w:r w:rsidRPr="00D72C37">
        <w:rPr>
          <w:rFonts w:ascii="Arial" w:hAnsi="Arial" w:cs="Arial"/>
          <w:b/>
        </w:rPr>
        <w:t>protokolu.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>odst. 1</w:t>
      </w:r>
      <w:r w:rsidR="00BA680A" w:rsidRPr="009B1490">
        <w:rPr>
          <w:rFonts w:ascii="Arial" w:hAnsi="Arial" w:cs="Arial"/>
        </w:rPr>
        <w:t>.</w:t>
      </w:r>
      <w:r w:rsidR="0017452C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 xml:space="preserve">y, pokud vzhledem k povaze vady nesjednal s kupujícím lhůtu jinou. Nelze-li vadu odstranit, nebo by její odstranění trvalo déle než </w:t>
      </w:r>
      <w:r w:rsidR="004442E7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dnů, zavazuje se prodávající dodat náhradou stejné zboží a bezvadné, a to ve lhůtě </w:t>
      </w:r>
      <w:r w:rsidR="00112146">
        <w:rPr>
          <w:rFonts w:ascii="Arial" w:hAnsi="Arial" w:cs="Arial"/>
        </w:rPr>
        <w:t>3 pracovní</w:t>
      </w:r>
      <w:r w:rsidR="00E3020A">
        <w:rPr>
          <w:rFonts w:ascii="Arial" w:hAnsi="Arial" w:cs="Arial"/>
        </w:rPr>
        <w:t>ch</w:t>
      </w:r>
      <w:r w:rsidR="00112146">
        <w:rPr>
          <w:rFonts w:ascii="Arial" w:hAnsi="Arial" w:cs="Arial"/>
        </w:rPr>
        <w:t xml:space="preserve"> dnů</w:t>
      </w:r>
      <w:r w:rsidR="00E3020A">
        <w:rPr>
          <w:rFonts w:ascii="Arial" w:hAnsi="Arial" w:cs="Arial"/>
        </w:rPr>
        <w:t>.</w:t>
      </w:r>
      <w:r w:rsidR="00112146">
        <w:rPr>
          <w:rFonts w:ascii="Arial" w:hAnsi="Arial" w:cs="Arial"/>
        </w:rPr>
        <w:t xml:space="preserve"> 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112146">
        <w:rPr>
          <w:rFonts w:ascii="Arial" w:hAnsi="Arial" w:cs="Arial"/>
        </w:rPr>
        <w:t xml:space="preserve">Prodávající obratem, nejpozději do 48 hodin od nahlášení vady (poruchy) navrhne kupujícímu způsob odstranění vady nebo poruchy zařízení.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  <w:r w:rsidR="00112146" w:rsidRPr="00112146">
        <w:rPr>
          <w:rFonts w:ascii="Arial" w:hAnsi="Arial" w:cs="Arial"/>
        </w:rPr>
        <w:t xml:space="preserve"> </w:t>
      </w:r>
      <w:r w:rsidR="00112146" w:rsidRPr="00884FD1">
        <w:rPr>
          <w:rFonts w:ascii="Arial" w:hAnsi="Arial" w:cs="Arial"/>
        </w:rPr>
        <w:t>]</w:t>
      </w:r>
      <w:r w:rsidR="00112146" w:rsidRPr="00D1197C">
        <w:rPr>
          <w:rFonts w:ascii="Arial" w:hAnsi="Arial" w:cs="Arial"/>
        </w:rPr>
        <w:t>.</w:t>
      </w:r>
      <w:r w:rsidR="00112146" w:rsidRPr="00112146">
        <w:rPr>
          <w:rFonts w:ascii="Arial" w:hAnsi="Arial" w:cs="Arial"/>
        </w:rPr>
        <w:t xml:space="preserve"> </w:t>
      </w:r>
      <w:r w:rsidR="00112146">
        <w:rPr>
          <w:rFonts w:ascii="Arial" w:hAnsi="Arial" w:cs="Arial"/>
        </w:rPr>
        <w:t xml:space="preserve">Náklady spojené s dodávkou náhradního zboží nese prodávající (doprava, instalace, zaškolení obsluhy, apod.)  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112146" w:rsidRDefault="00112146" w:rsidP="00112146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se na dodaném zboží, podobu záruky vyskytnou více jak 2 opakované vady nebo celkem více jak 5 reklamovaných vad si dodavatel vyhrazuje právo vyžádat na dodavateli výměnu zboží za nové bezvadné ve sjednané lhůtě. Náklady spojení s výměnou nese prodávající (doprava, instalace, zaškolení obsluhy, apod.). </w:t>
      </w:r>
    </w:p>
    <w:p w:rsidR="00112146" w:rsidRPr="00E3020A" w:rsidRDefault="00112146" w:rsidP="00E3020A">
      <w:pPr>
        <w:jc w:val="both"/>
        <w:rPr>
          <w:rFonts w:ascii="Arial" w:hAnsi="Arial" w:cs="Arial"/>
        </w:rPr>
      </w:pPr>
      <w:r w:rsidRPr="00E3020A">
        <w:rPr>
          <w:rFonts w:ascii="Arial" w:hAnsi="Arial" w:cs="Arial"/>
        </w:rPr>
        <w:t xml:space="preserve"> </w:t>
      </w: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00 </w:t>
      </w:r>
      <w:proofErr w:type="gramStart"/>
      <w:r>
        <w:rPr>
          <w:rFonts w:ascii="Arial" w:hAnsi="Arial" w:cs="Arial"/>
        </w:rPr>
        <w:t xml:space="preserve">Kč 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</w:t>
      </w:r>
      <w:proofErr w:type="gramEnd"/>
      <w:r>
        <w:rPr>
          <w:rFonts w:ascii="Arial" w:hAnsi="Arial" w:cs="Arial"/>
        </w:rPr>
        <w:t xml:space="preserve">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 xml:space="preserve">lhůtě určené pro odstranění vad </w:t>
      </w:r>
      <w:r>
        <w:rPr>
          <w:rFonts w:ascii="Arial" w:hAnsi="Arial" w:cs="Arial"/>
        </w:rPr>
        <w:lastRenderedPageBreak/>
        <w:t>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  <w:r w:rsidR="00112146">
        <w:rPr>
          <w:rFonts w:ascii="Arial" w:hAnsi="Arial" w:cs="Arial"/>
        </w:rPr>
        <w:t xml:space="preserve"> Za neodstranění vad se považuje</w:t>
      </w:r>
      <w:r w:rsidR="00EF2C41">
        <w:rPr>
          <w:rFonts w:ascii="Arial" w:hAnsi="Arial" w:cs="Arial"/>
        </w:rPr>
        <w:t xml:space="preserve"> rovněž</w:t>
      </w:r>
      <w:r w:rsidR="00112146">
        <w:rPr>
          <w:rFonts w:ascii="Arial" w:hAnsi="Arial" w:cs="Arial"/>
        </w:rPr>
        <w:t xml:space="preserve"> nedodání nového</w:t>
      </w:r>
      <w:r w:rsidR="00EF2C41">
        <w:rPr>
          <w:rFonts w:ascii="Arial" w:hAnsi="Arial" w:cs="Arial"/>
        </w:rPr>
        <w:t>,</w:t>
      </w:r>
      <w:r w:rsidR="00112146">
        <w:rPr>
          <w:rFonts w:ascii="Arial" w:hAnsi="Arial" w:cs="Arial"/>
        </w:rPr>
        <w:t xml:space="preserve"> bezvadného zboží ve lhůtě sjednané dle čl. VIII. Odst. 6 této dohody. 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240224" w:rsidRDefault="00240224" w:rsidP="00112146">
      <w:pPr>
        <w:tabs>
          <w:tab w:val="left" w:pos="1134"/>
        </w:tabs>
        <w:jc w:val="both"/>
        <w:outlineLvl w:val="0"/>
        <w:rPr>
          <w:rFonts w:ascii="Arial" w:hAnsi="Arial" w:cs="Arial"/>
          <w:b/>
        </w:rPr>
      </w:pPr>
    </w:p>
    <w:p w:rsidR="00240224" w:rsidRDefault="00240224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C10322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lze ukončit, kromě uplynutí doby, na kterou byla s</w:t>
      </w:r>
      <w:r w:rsidR="00A303D3">
        <w:rPr>
          <w:rFonts w:ascii="Arial" w:hAnsi="Arial" w:cs="Arial"/>
        </w:rPr>
        <w:t>jednána dle</w:t>
      </w:r>
      <w:r w:rsidR="009B1490">
        <w:rPr>
          <w:rFonts w:ascii="Arial" w:hAnsi="Arial" w:cs="Arial"/>
        </w:rPr>
        <w:br/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 w:rsidR="008C6CB1">
        <w:rPr>
          <w:rFonts w:ascii="Arial" w:hAnsi="Arial" w:cs="Arial"/>
        </w:rPr>
        <w:t xml:space="preserve">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A303D3" w:rsidRPr="00A303D3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 w:rsidRPr="00F5637D">
        <w:rPr>
          <w:rFonts w:ascii="Arial" w:hAnsi="Arial" w:cs="Arial"/>
        </w:rPr>
        <w:t>Prodávající si je vědom zákonné povinnosti kupujícího uveřejnit na svém elektronickém profilu tut</w:t>
      </w:r>
      <w:r w:rsidRPr="00CA143C">
        <w:rPr>
          <w:rFonts w:ascii="Arial" w:hAnsi="Arial" w:cs="Arial"/>
        </w:rPr>
        <w:t xml:space="preserve">o </w:t>
      </w:r>
      <w:r w:rsidR="00524E0A">
        <w:rPr>
          <w:rFonts w:ascii="Arial" w:hAnsi="Arial" w:cs="Arial"/>
        </w:rPr>
        <w:t>dohodu</w:t>
      </w:r>
      <w:r w:rsidRPr="00CA143C">
        <w:rPr>
          <w:rFonts w:ascii="Arial" w:hAnsi="Arial" w:cs="Arial"/>
        </w:rPr>
        <w:t xml:space="preserve"> včetně všech </w:t>
      </w:r>
      <w:r w:rsidR="0048770A">
        <w:rPr>
          <w:rFonts w:ascii="Arial" w:hAnsi="Arial" w:cs="Arial"/>
        </w:rPr>
        <w:t>jejích případných změn a </w:t>
      </w:r>
      <w:r w:rsidRPr="00CA143C">
        <w:rPr>
          <w:rFonts w:ascii="Arial" w:hAnsi="Arial" w:cs="Arial"/>
        </w:rPr>
        <w:t xml:space="preserve">dodatků, výši skutečně uhrazené ceny za plnění této </w:t>
      </w:r>
      <w:r w:rsidR="00804DF6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a seznam </w:t>
      </w:r>
      <w:r w:rsidR="009B1490">
        <w:rPr>
          <w:rFonts w:ascii="Arial" w:hAnsi="Arial" w:cs="Arial"/>
        </w:rPr>
        <w:t>pod</w:t>
      </w:r>
      <w:r w:rsidRPr="00CA143C">
        <w:rPr>
          <w:rFonts w:ascii="Arial" w:hAnsi="Arial" w:cs="Arial"/>
        </w:rPr>
        <w:t>dodavatelů</w:t>
      </w:r>
      <w:r w:rsidR="00F5637D">
        <w:rPr>
          <w:rFonts w:ascii="Arial" w:hAnsi="Arial" w:cs="Arial"/>
        </w:rPr>
        <w:t>.</w:t>
      </w:r>
      <w:r w:rsidR="00F75E7B">
        <w:rPr>
          <w:rFonts w:ascii="Arial" w:hAnsi="Arial" w:cs="Arial"/>
          <w:color w:val="FF0000"/>
        </w:rPr>
        <w:t xml:space="preserve"> </w:t>
      </w:r>
    </w:p>
    <w:p w:rsidR="00A303D3" w:rsidRPr="00A303D3" w:rsidRDefault="00A303D3" w:rsidP="00A303D3">
      <w:pPr>
        <w:pStyle w:val="Odstavecseseznamem"/>
        <w:rPr>
          <w:rFonts w:ascii="Arial" w:hAnsi="Arial" w:cs="Arial"/>
          <w:color w:val="FF0000"/>
        </w:rPr>
      </w:pPr>
    </w:p>
    <w:p w:rsidR="00CA143C" w:rsidRPr="00A303D3" w:rsidRDefault="00B45C49" w:rsidP="00A303D3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:rsidR="00CA143C" w:rsidRDefault="00CA143C" w:rsidP="00932CF7">
      <w:pPr>
        <w:pStyle w:val="Odstavecseseznamem"/>
        <w:rPr>
          <w:rFonts w:ascii="Arial" w:hAnsi="Arial" w:cs="Arial"/>
        </w:rPr>
      </w:pPr>
    </w:p>
    <w:p w:rsidR="00816434" w:rsidRDefault="00816434" w:rsidP="00932CF7">
      <w:pPr>
        <w:pStyle w:val="Odstavecseseznamem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:rsidR="00D31FC2" w:rsidRP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:rsidR="007105FC" w:rsidRPr="00D31FC2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:rsidR="00416612" w:rsidRDefault="00416612" w:rsidP="0041661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Martina Heřmanová</w:t>
      </w:r>
      <w:r w:rsidRPr="007763C0">
        <w:rPr>
          <w:rFonts w:ascii="Arial" w:hAnsi="Arial" w:cs="Arial"/>
        </w:rPr>
        <w:t>,</w:t>
      </w:r>
    </w:p>
    <w:p w:rsidR="00416612" w:rsidRPr="007763C0" w:rsidRDefault="00416612" w:rsidP="00416612">
      <w:pPr>
        <w:pStyle w:val="Odstavecseseznamem"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Referent stravování a výživy odboru logistiky GŘ VS</w:t>
      </w:r>
      <w:r w:rsidRPr="007763C0">
        <w:rPr>
          <w:rFonts w:ascii="Arial" w:hAnsi="Arial" w:cs="Arial"/>
        </w:rPr>
        <w:t xml:space="preserve">, </w:t>
      </w:r>
    </w:p>
    <w:p w:rsidR="00416612" w:rsidRPr="009E52FD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244 024 527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Pr="001B0DB7">
          <w:rPr>
            <w:rStyle w:val="Hypertextovodkaz"/>
            <w:rFonts w:ascii="Arial" w:hAnsi="Arial" w:cs="Arial"/>
          </w:rPr>
          <w:t>mhermanova@grvs.justice.cz</w:t>
        </w:r>
      </w:hyperlink>
      <w:r>
        <w:rPr>
          <w:rFonts w:ascii="Arial" w:hAnsi="Arial" w:cs="Arial"/>
          <w:color w:val="0070C0"/>
          <w:u w:val="single"/>
        </w:rPr>
        <w:t>,</w:t>
      </w:r>
    </w:p>
    <w:p w:rsidR="00416612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tab/>
      </w:r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 technických věcech realizace dohody,</w:t>
      </w:r>
    </w:p>
    <w:p w:rsidR="00416612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416612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b/>
          <w:color w:val="auto"/>
          <w:u w:val="none"/>
        </w:rPr>
        <w:tab/>
      </w:r>
      <w:r w:rsidRPr="009E52FD">
        <w:rPr>
          <w:rStyle w:val="Hypertextovodkaz"/>
          <w:rFonts w:ascii="Arial" w:hAnsi="Arial" w:cs="Arial"/>
          <w:b/>
          <w:color w:val="auto"/>
          <w:u w:val="none"/>
        </w:rPr>
        <w:t>Vojtěch Štěpnička</w:t>
      </w:r>
      <w:r>
        <w:rPr>
          <w:rStyle w:val="Hypertextovodkaz"/>
          <w:rFonts w:ascii="Arial" w:hAnsi="Arial" w:cs="Arial"/>
          <w:color w:val="auto"/>
          <w:u w:val="none"/>
        </w:rPr>
        <w:t>,</w:t>
      </w:r>
    </w:p>
    <w:p w:rsidR="00416612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  <w:t>Úsek stravování oddělení MTZ a služeb odboru logistiky GŘ VS</w:t>
      </w:r>
    </w:p>
    <w:p w:rsidR="00416612" w:rsidRDefault="00416612" w:rsidP="0041661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  <w:t>Tel. 244 024 528</w:t>
      </w:r>
      <w:r w:rsidRPr="007763C0">
        <w:rPr>
          <w:rFonts w:ascii="Arial" w:hAnsi="Arial" w:cs="Arial"/>
        </w:rPr>
        <w:t xml:space="preserve">, email: </w:t>
      </w:r>
      <w:hyperlink r:id="rId11" w:history="1">
        <w:r w:rsidRPr="001B0DB7">
          <w:rPr>
            <w:rStyle w:val="Hypertextovodkaz"/>
            <w:rFonts w:ascii="Arial" w:hAnsi="Arial" w:cs="Arial"/>
          </w:rPr>
          <w:t>vstepnicka@grvs.justice.cz</w:t>
        </w:r>
      </w:hyperlink>
      <w:r>
        <w:rPr>
          <w:rFonts w:ascii="Arial" w:hAnsi="Arial" w:cs="Arial"/>
        </w:rPr>
        <w:t>,</w:t>
      </w:r>
    </w:p>
    <w:p w:rsidR="00416612" w:rsidRPr="00D31FC2" w:rsidRDefault="00416612" w:rsidP="00416612">
      <w:pPr>
        <w:pStyle w:val="Odstavecseseznamem"/>
        <w:numPr>
          <w:ilvl w:val="0"/>
          <w:numId w:val="37"/>
        </w:numPr>
        <w:tabs>
          <w:tab w:val="left" w:pos="4320"/>
        </w:tabs>
        <w:spacing w:line="276" w:lineRule="auto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>v technických věcech realizace dohody,</w:t>
      </w:r>
    </w:p>
    <w:p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C32B9B" w:rsidRDefault="00271E68" w:rsidP="00E3020A">
      <w:pPr>
        <w:spacing w:line="259" w:lineRule="auto"/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32B9B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vedoucí referátu stravování a výživy dle článku V. odst. 3</w:t>
      </w:r>
      <w:r w:rsidR="006A6373">
        <w:rPr>
          <w:rFonts w:ascii="Arial" w:hAnsi="Arial" w:cs="Arial"/>
        </w:rPr>
        <w:t xml:space="preserve"> a Přílohy č. 2</w:t>
      </w:r>
      <w:r w:rsidR="004442E7">
        <w:rPr>
          <w:rFonts w:ascii="Arial" w:hAnsi="Arial" w:cs="Arial"/>
        </w:rPr>
        <w:t>,</w:t>
      </w:r>
      <w:r w:rsidR="006A6373">
        <w:rPr>
          <w:rFonts w:ascii="Arial" w:hAnsi="Arial" w:cs="Arial"/>
        </w:rPr>
        <w:t xml:space="preserve"> této dohody.</w:t>
      </w:r>
    </w:p>
    <w:p w:rsidR="003321DB" w:rsidRPr="00C32B9B" w:rsidRDefault="0026732E" w:rsidP="00E3020A">
      <w:pPr>
        <w:tabs>
          <w:tab w:val="left" w:pos="1701"/>
        </w:tabs>
        <w:spacing w:line="259" w:lineRule="auto"/>
        <w:ind w:left="1701" w:hanging="425"/>
        <w:jc w:val="both"/>
        <w:rPr>
          <w:rFonts w:ascii="Arial" w:hAnsi="Arial" w:cs="Arial"/>
        </w:rPr>
      </w:pPr>
      <w:r w:rsidRPr="00C32B9B">
        <w:rPr>
          <w:rFonts w:ascii="Arial" w:hAnsi="Arial" w:cs="Arial"/>
        </w:rPr>
        <w:lastRenderedPageBreak/>
        <w:t>– ve věcech převzetí zboží</w:t>
      </w:r>
      <w:r w:rsidR="00D31FC2" w:rsidRPr="00C32B9B">
        <w:rPr>
          <w:rFonts w:ascii="Arial" w:hAnsi="Arial" w:cs="Arial"/>
        </w:rPr>
        <w:t xml:space="preserve"> včetně příslušných dokumentů</w:t>
      </w:r>
      <w:r w:rsidRPr="00C32B9B">
        <w:rPr>
          <w:rFonts w:ascii="Arial" w:hAnsi="Arial" w:cs="Arial"/>
        </w:rPr>
        <w:t xml:space="preserve"> a odsouhlasení dodacíc</w:t>
      </w:r>
      <w:r w:rsidR="000079A6" w:rsidRPr="00C32B9B">
        <w:rPr>
          <w:rFonts w:ascii="Arial" w:hAnsi="Arial" w:cs="Arial"/>
        </w:rPr>
        <w:t>h listů (předávacích protokolů),</w:t>
      </w:r>
      <w:r w:rsidRPr="00C32B9B">
        <w:rPr>
          <w:rFonts w:ascii="Arial" w:hAnsi="Arial" w:cs="Arial"/>
        </w:rPr>
        <w:t xml:space="preserve"> </w:t>
      </w:r>
      <w:r w:rsidR="003321DB" w:rsidRPr="00C32B9B">
        <w:rPr>
          <w:rFonts w:ascii="Arial" w:hAnsi="Arial" w:cs="Arial"/>
        </w:rPr>
        <w:t xml:space="preserve">  </w:t>
      </w: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platnosti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CA143C" w:rsidRDefault="008C6CB1" w:rsidP="00525ED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040D24">
        <w:rPr>
          <w:rFonts w:ascii="Arial" w:hAnsi="Arial" w:cs="Arial"/>
          <w:b/>
        </w:rPr>
        <w:t>10</w:t>
      </w:r>
      <w:r w:rsidR="009A0CBF" w:rsidRPr="00543D84">
        <w:rPr>
          <w:rFonts w:ascii="Arial" w:hAnsi="Arial" w:cs="Arial"/>
          <w:b/>
        </w:rPr>
        <w:t> 000 000,-</w:t>
      </w:r>
      <w:r w:rsidR="007167B0" w:rsidRPr="00543D84">
        <w:rPr>
          <w:rFonts w:ascii="Arial" w:hAnsi="Arial" w:cs="Arial"/>
          <w:b/>
        </w:rPr>
        <w:t xml:space="preserve"> Kč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:rsidR="009A0CBF" w:rsidRPr="009A0CBF" w:rsidRDefault="009A0CBF" w:rsidP="009A0CBF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2A661E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981045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 je vyhotovena v</w:t>
      </w:r>
      <w:r w:rsidR="004442E7">
        <w:rPr>
          <w:rFonts w:ascii="Arial" w:hAnsi="Arial" w:cs="Arial"/>
        </w:rPr>
        <w:t xml:space="preserve"> pěti</w:t>
      </w:r>
      <w:r>
        <w:rPr>
          <w:rFonts w:ascii="Arial" w:hAnsi="Arial" w:cs="Arial"/>
        </w:rPr>
        <w:t xml:space="preserve"> stejnopisech s platností originálu, z nichž </w:t>
      </w:r>
      <w:r w:rsidR="004442E7">
        <w:rPr>
          <w:rFonts w:ascii="Arial" w:hAnsi="Arial" w:cs="Arial"/>
        </w:rPr>
        <w:t>kupující</w:t>
      </w:r>
      <w:r>
        <w:rPr>
          <w:rFonts w:ascii="Arial" w:hAnsi="Arial" w:cs="Arial"/>
        </w:rPr>
        <w:t xml:space="preserve"> obdrží </w:t>
      </w:r>
      <w:r w:rsidR="004442E7">
        <w:rPr>
          <w:rFonts w:ascii="Arial" w:hAnsi="Arial" w:cs="Arial"/>
        </w:rPr>
        <w:t>tři a prodávající dva</w:t>
      </w:r>
      <w:r>
        <w:rPr>
          <w:rFonts w:ascii="Arial" w:hAnsi="Arial" w:cs="Arial"/>
        </w:rPr>
        <w:t xml:space="preserve"> stejnopis</w:t>
      </w:r>
      <w:r w:rsidR="004442E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  <w:r w:rsidR="001E5EF9">
        <w:rPr>
          <w:rFonts w:ascii="Arial" w:hAnsi="Arial" w:cs="Arial"/>
        </w:rPr>
        <w:t xml:space="preserve">Platnosti a účinnosti nabývá </w:t>
      </w:r>
      <w:r w:rsidR="00251A0B">
        <w:rPr>
          <w:rFonts w:ascii="Arial" w:hAnsi="Arial" w:cs="Arial"/>
        </w:rPr>
        <w:t>dohoda</w:t>
      </w:r>
      <w:r w:rsidR="001E5EF9">
        <w:rPr>
          <w:rFonts w:ascii="Arial" w:hAnsi="Arial" w:cs="Arial"/>
        </w:rPr>
        <w:t xml:space="preserve"> dnem podpisu zástupců obou smluvních stran.</w:t>
      </w:r>
    </w:p>
    <w:p w:rsidR="00816434" w:rsidRDefault="00816434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6A6373" w:rsidRDefault="006A6373" w:rsidP="006A6373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>
        <w:rPr>
          <w:rFonts w:ascii="Arial" w:hAnsi="Arial" w:cs="Arial"/>
        </w:rPr>
        <w:t xml:space="preserve">Technická specifikace mycí stroje </w:t>
      </w:r>
      <w:r>
        <w:rPr>
          <w:rFonts w:ascii="Arial" w:hAnsi="Arial" w:cs="Arial"/>
          <w:highlight w:val="yellow"/>
        </w:rPr>
        <w:t>(dodá uchazeč)</w:t>
      </w:r>
    </w:p>
    <w:p w:rsidR="006A6373" w:rsidRDefault="006A6373" w:rsidP="006A6373">
      <w:pPr>
        <w:tabs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Seznam míst plnění</w:t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700CC8" w:rsidRDefault="00700CC8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E3020A" w:rsidRDefault="00E3020A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E3020A" w:rsidRDefault="00E3020A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112146">
            <w:pPr>
              <w:tabs>
                <w:tab w:val="left" w:pos="4320"/>
              </w:tabs>
              <w:rPr>
                <w:rFonts w:ascii="Arial" w:hAnsi="Arial" w:cs="Arial"/>
              </w:rPr>
            </w:pPr>
          </w:p>
          <w:p w:rsidR="00525ED1" w:rsidRDefault="00525ED1" w:rsidP="001346C1">
            <w:pPr>
              <w:tabs>
                <w:tab w:val="left" w:pos="4320"/>
              </w:tabs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lastRenderedPageBreak/>
              <w:t>náměstek generálního ředitele pro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:rsidR="00525ED1" w:rsidRPr="00525ED1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1346C1">
            <w:pPr>
              <w:tabs>
                <w:tab w:val="left" w:pos="4320"/>
              </w:tabs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884F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sectPr w:rsidR="00525ED1" w:rsidSect="0012496A">
      <w:headerReference w:type="default" r:id="rId12"/>
      <w:footerReference w:type="even" r:id="rId13"/>
      <w:footerReference w:type="default" r:id="rId14"/>
      <w:pgSz w:w="11906" w:h="16838"/>
      <w:pgMar w:top="1560" w:right="1416" w:bottom="1417" w:left="1417" w:header="56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35" w:rsidRDefault="003D1035">
      <w:r>
        <w:separator/>
      </w:r>
    </w:p>
  </w:endnote>
  <w:endnote w:type="continuationSeparator" w:id="0">
    <w:p w:rsidR="003D1035" w:rsidRDefault="003D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Default="003D103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3D1035" w:rsidRDefault="003D103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Pr="00525ED1" w:rsidRDefault="003D103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12496A">
      <w:rPr>
        <w:rStyle w:val="slostrnky"/>
        <w:rFonts w:ascii="Arial" w:hAnsi="Arial" w:cs="Arial"/>
        <w:noProof/>
        <w:sz w:val="22"/>
        <w:szCs w:val="22"/>
      </w:rPr>
      <w:t>10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3D1035" w:rsidRDefault="003D103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35" w:rsidRDefault="003D1035">
      <w:r>
        <w:separator/>
      </w:r>
    </w:p>
  </w:footnote>
  <w:footnote w:type="continuationSeparator" w:id="0">
    <w:p w:rsidR="003D1035" w:rsidRDefault="003D1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035" w:rsidRPr="009228E3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3D1035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velkokuchyňská technologie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3D1035" w:rsidRPr="00B454E2" w:rsidRDefault="003D1035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>
      <w:rPr>
        <w:rFonts w:ascii="Arial" w:hAnsi="Arial" w:cs="Arial"/>
        <w:i/>
        <w:color w:val="999999"/>
        <w:sz w:val="22"/>
        <w:szCs w:val="22"/>
      </w:rPr>
      <w:t>Část III. – mycí stroje</w:t>
    </w:r>
  </w:p>
  <w:p w:rsidR="003D1035" w:rsidRDefault="003D103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7F0732"/>
    <w:multiLevelType w:val="hybridMultilevel"/>
    <w:tmpl w:val="864E038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199055F"/>
    <w:multiLevelType w:val="hybridMultilevel"/>
    <w:tmpl w:val="CF4E8542"/>
    <w:lvl w:ilvl="0" w:tplc="A91AF9B8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0D54CB5"/>
    <w:multiLevelType w:val="hybridMultilevel"/>
    <w:tmpl w:val="EAB480C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7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06E7649"/>
    <w:multiLevelType w:val="hybridMultilevel"/>
    <w:tmpl w:val="8B94202C"/>
    <w:lvl w:ilvl="0" w:tplc="2E445FA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0" w:hanging="1800"/>
      </w:pPr>
      <w:rPr>
        <w:rFonts w:hint="default"/>
      </w:rPr>
    </w:lvl>
  </w:abstractNum>
  <w:abstractNum w:abstractNumId="35">
    <w:nsid w:val="74CC0AD9"/>
    <w:multiLevelType w:val="hybridMultilevel"/>
    <w:tmpl w:val="CABC38D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0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4"/>
  </w:num>
  <w:num w:numId="3">
    <w:abstractNumId w:val="27"/>
  </w:num>
  <w:num w:numId="4">
    <w:abstractNumId w:val="12"/>
  </w:num>
  <w:num w:numId="5">
    <w:abstractNumId w:val="11"/>
  </w:num>
  <w:num w:numId="6">
    <w:abstractNumId w:val="19"/>
  </w:num>
  <w:num w:numId="7">
    <w:abstractNumId w:val="6"/>
  </w:num>
  <w:num w:numId="8">
    <w:abstractNumId w:val="26"/>
  </w:num>
  <w:num w:numId="9">
    <w:abstractNumId w:val="29"/>
  </w:num>
  <w:num w:numId="10">
    <w:abstractNumId w:val="40"/>
  </w:num>
  <w:num w:numId="11">
    <w:abstractNumId w:val="5"/>
  </w:num>
  <w:num w:numId="12">
    <w:abstractNumId w:val="25"/>
  </w:num>
  <w:num w:numId="13">
    <w:abstractNumId w:val="28"/>
  </w:num>
  <w:num w:numId="14">
    <w:abstractNumId w:val="0"/>
  </w:num>
  <w:num w:numId="15">
    <w:abstractNumId w:val="18"/>
  </w:num>
  <w:num w:numId="16">
    <w:abstractNumId w:val="24"/>
  </w:num>
  <w:num w:numId="17">
    <w:abstractNumId w:val="1"/>
  </w:num>
  <w:num w:numId="18">
    <w:abstractNumId w:val="21"/>
  </w:num>
  <w:num w:numId="19">
    <w:abstractNumId w:val="2"/>
  </w:num>
  <w:num w:numId="20">
    <w:abstractNumId w:val="4"/>
  </w:num>
  <w:num w:numId="21">
    <w:abstractNumId w:val="17"/>
  </w:num>
  <w:num w:numId="22">
    <w:abstractNumId w:val="8"/>
  </w:num>
  <w:num w:numId="23">
    <w:abstractNumId w:val="38"/>
  </w:num>
  <w:num w:numId="24">
    <w:abstractNumId w:val="30"/>
  </w:num>
  <w:num w:numId="25">
    <w:abstractNumId w:val="22"/>
  </w:num>
  <w:num w:numId="26">
    <w:abstractNumId w:val="13"/>
  </w:num>
  <w:num w:numId="27">
    <w:abstractNumId w:val="16"/>
  </w:num>
  <w:num w:numId="28">
    <w:abstractNumId w:val="20"/>
  </w:num>
  <w:num w:numId="29">
    <w:abstractNumId w:val="33"/>
  </w:num>
  <w:num w:numId="30">
    <w:abstractNumId w:val="10"/>
  </w:num>
  <w:num w:numId="31">
    <w:abstractNumId w:val="31"/>
  </w:num>
  <w:num w:numId="32">
    <w:abstractNumId w:val="3"/>
  </w:num>
  <w:num w:numId="33">
    <w:abstractNumId w:val="9"/>
  </w:num>
  <w:num w:numId="34">
    <w:abstractNumId w:val="37"/>
  </w:num>
  <w:num w:numId="35">
    <w:abstractNumId w:val="39"/>
  </w:num>
  <w:num w:numId="36">
    <w:abstractNumId w:val="7"/>
  </w:num>
  <w:num w:numId="37">
    <w:abstractNumId w:val="15"/>
  </w:num>
  <w:num w:numId="38">
    <w:abstractNumId w:val="23"/>
  </w:num>
  <w:num w:numId="39">
    <w:abstractNumId w:val="32"/>
  </w:num>
  <w:num w:numId="40">
    <w:abstractNumId w:val="35"/>
  </w:num>
  <w:num w:numId="4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4799"/>
    <w:rsid w:val="000352C0"/>
    <w:rsid w:val="00040D24"/>
    <w:rsid w:val="00041FF7"/>
    <w:rsid w:val="00045AD5"/>
    <w:rsid w:val="00051D29"/>
    <w:rsid w:val="0005335A"/>
    <w:rsid w:val="00055FA4"/>
    <w:rsid w:val="000749EC"/>
    <w:rsid w:val="0008032C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1585"/>
    <w:rsid w:val="00103BE6"/>
    <w:rsid w:val="00112146"/>
    <w:rsid w:val="0012270F"/>
    <w:rsid w:val="0012496A"/>
    <w:rsid w:val="00124FD6"/>
    <w:rsid w:val="00126628"/>
    <w:rsid w:val="00132CCF"/>
    <w:rsid w:val="001346C1"/>
    <w:rsid w:val="001509AB"/>
    <w:rsid w:val="00151475"/>
    <w:rsid w:val="0016087A"/>
    <w:rsid w:val="00167AA8"/>
    <w:rsid w:val="00170D5A"/>
    <w:rsid w:val="001720F8"/>
    <w:rsid w:val="001725CA"/>
    <w:rsid w:val="0017452C"/>
    <w:rsid w:val="001A17BE"/>
    <w:rsid w:val="001A2BF9"/>
    <w:rsid w:val="001A3D97"/>
    <w:rsid w:val="001B5E1F"/>
    <w:rsid w:val="001C3C46"/>
    <w:rsid w:val="001D1011"/>
    <w:rsid w:val="001E50F3"/>
    <w:rsid w:val="001E5EF9"/>
    <w:rsid w:val="002053F8"/>
    <w:rsid w:val="002208CF"/>
    <w:rsid w:val="00240224"/>
    <w:rsid w:val="00251A0B"/>
    <w:rsid w:val="002617BD"/>
    <w:rsid w:val="00266C13"/>
    <w:rsid w:val="0026732E"/>
    <w:rsid w:val="00271E68"/>
    <w:rsid w:val="002851E8"/>
    <w:rsid w:val="002951BF"/>
    <w:rsid w:val="00295E14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7BF0"/>
    <w:rsid w:val="0036691F"/>
    <w:rsid w:val="0037002B"/>
    <w:rsid w:val="00374F95"/>
    <w:rsid w:val="003921FC"/>
    <w:rsid w:val="00394F16"/>
    <w:rsid w:val="003A280C"/>
    <w:rsid w:val="003A6E64"/>
    <w:rsid w:val="003B472B"/>
    <w:rsid w:val="003B6690"/>
    <w:rsid w:val="003D0EF2"/>
    <w:rsid w:val="003D1035"/>
    <w:rsid w:val="003D7179"/>
    <w:rsid w:val="003E036B"/>
    <w:rsid w:val="003F6C7D"/>
    <w:rsid w:val="004068CF"/>
    <w:rsid w:val="00411618"/>
    <w:rsid w:val="00416612"/>
    <w:rsid w:val="00417ACA"/>
    <w:rsid w:val="004202C7"/>
    <w:rsid w:val="004442E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A27"/>
    <w:rsid w:val="00523164"/>
    <w:rsid w:val="00524E0A"/>
    <w:rsid w:val="00524E71"/>
    <w:rsid w:val="00525ED1"/>
    <w:rsid w:val="00543D84"/>
    <w:rsid w:val="00562560"/>
    <w:rsid w:val="0059365F"/>
    <w:rsid w:val="00595FA1"/>
    <w:rsid w:val="005B388C"/>
    <w:rsid w:val="005B54F6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A6373"/>
    <w:rsid w:val="006B10D1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A381F"/>
    <w:rsid w:val="007C0AD7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619B"/>
    <w:rsid w:val="009301CB"/>
    <w:rsid w:val="00932CF7"/>
    <w:rsid w:val="009335B7"/>
    <w:rsid w:val="0093440E"/>
    <w:rsid w:val="009406D4"/>
    <w:rsid w:val="00940C46"/>
    <w:rsid w:val="00943190"/>
    <w:rsid w:val="009600B0"/>
    <w:rsid w:val="00964290"/>
    <w:rsid w:val="009658F2"/>
    <w:rsid w:val="00967487"/>
    <w:rsid w:val="00974FFA"/>
    <w:rsid w:val="00981045"/>
    <w:rsid w:val="00983081"/>
    <w:rsid w:val="00983810"/>
    <w:rsid w:val="00986C6F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3699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543C8"/>
    <w:rsid w:val="00A604BF"/>
    <w:rsid w:val="00A72FD4"/>
    <w:rsid w:val="00A9246C"/>
    <w:rsid w:val="00A9570C"/>
    <w:rsid w:val="00AA5F04"/>
    <w:rsid w:val="00AA77CB"/>
    <w:rsid w:val="00AB05A9"/>
    <w:rsid w:val="00AC03AA"/>
    <w:rsid w:val="00AC1E04"/>
    <w:rsid w:val="00AE2FAE"/>
    <w:rsid w:val="00AF7AED"/>
    <w:rsid w:val="00B076A9"/>
    <w:rsid w:val="00B120C8"/>
    <w:rsid w:val="00B14EF1"/>
    <w:rsid w:val="00B216D2"/>
    <w:rsid w:val="00B23BB6"/>
    <w:rsid w:val="00B307D2"/>
    <w:rsid w:val="00B31204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C10322"/>
    <w:rsid w:val="00C122F5"/>
    <w:rsid w:val="00C22F2D"/>
    <w:rsid w:val="00C32B9B"/>
    <w:rsid w:val="00C4576F"/>
    <w:rsid w:val="00C62989"/>
    <w:rsid w:val="00C6608E"/>
    <w:rsid w:val="00C72C8D"/>
    <w:rsid w:val="00C74894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1132"/>
    <w:rsid w:val="00CE37A8"/>
    <w:rsid w:val="00CE6841"/>
    <w:rsid w:val="00CE7AD6"/>
    <w:rsid w:val="00CF67F1"/>
    <w:rsid w:val="00D02AFD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3EE9"/>
    <w:rsid w:val="00E3020A"/>
    <w:rsid w:val="00E33BC1"/>
    <w:rsid w:val="00E568AF"/>
    <w:rsid w:val="00EA4296"/>
    <w:rsid w:val="00EB5DFC"/>
    <w:rsid w:val="00EC077B"/>
    <w:rsid w:val="00EC20DC"/>
    <w:rsid w:val="00EC305B"/>
    <w:rsid w:val="00EC5524"/>
    <w:rsid w:val="00ED01EE"/>
    <w:rsid w:val="00EF073D"/>
    <w:rsid w:val="00EF0E21"/>
    <w:rsid w:val="00EF1495"/>
    <w:rsid w:val="00EF24DF"/>
    <w:rsid w:val="00EF2C41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tepnicka@grvs.justice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hermanova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D096-0FA2-40CF-89BC-275034DD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1541</Words>
  <Characters>8967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10488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Ausburher Josef</cp:lastModifiedBy>
  <cp:revision>11</cp:revision>
  <cp:lastPrinted>2017-02-27T08:55:00Z</cp:lastPrinted>
  <dcterms:created xsi:type="dcterms:W3CDTF">2016-12-20T10:23:00Z</dcterms:created>
  <dcterms:modified xsi:type="dcterms:W3CDTF">2017-06-22T12:23:00Z</dcterms:modified>
</cp:coreProperties>
</file>